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в 2017 году. 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при этом ослабление рубля к 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2018году составили 100,1% к 2017году (2017</w:t>
      </w:r>
      <w:r>
        <w:rPr>
          <w:sz w:val="28"/>
          <w:szCs w:val="28"/>
        </w:rPr>
        <w:t xml:space="preserve"> г.– 9</w:t>
      </w:r>
      <w:r w:rsidR="00962EB5">
        <w:rPr>
          <w:sz w:val="28"/>
          <w:szCs w:val="28"/>
        </w:rPr>
        <w:t>9,5</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Вструктуреденежныхдоходовнаселения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к 2017 году) и «одежда и обувь» – 124,1 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из более чем 50 стран мира иоколо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усемью</w:t>
      </w:r>
      <w:r>
        <w:rPr>
          <w:sz w:val="28"/>
          <w:szCs w:val="28"/>
        </w:rPr>
        <w:t>(2017 г.</w:t>
      </w:r>
      <w:r w:rsidRPr="005846F1">
        <w:rPr>
          <w:sz w:val="28"/>
          <w:szCs w:val="28"/>
        </w:rPr>
        <w:t xml:space="preserve"> – 904рубля),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 xml:space="preserve">году с гражданами было заключено 104,6тыс.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65,4тыс.</w:t>
      </w:r>
      <w:r w:rsidR="00581D8D">
        <w:rPr>
          <w:sz w:val="28"/>
          <w:szCs w:val="28"/>
        </w:rPr>
        <w:t xml:space="preserve"> социальных контрактов</w:t>
      </w:r>
      <w:r w:rsidRPr="005846F1">
        <w:rPr>
          <w:sz w:val="28"/>
          <w:szCs w:val="28"/>
        </w:rPr>
        <w:t xml:space="preserve">). С учетом всех членов семей социальным контрактом охвачено 308,8тыс. человек, что на 3% больше по сравнению с 2017годом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 xml:space="preserve">В 2018году с малообеспеченными семьями, имеющими детей в возрасте до 16лет, заключено 62,6тыс.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2018году составил 37,8</w:t>
      </w:r>
      <w:r w:rsidR="00581D8D">
        <w:rPr>
          <w:sz w:val="28"/>
          <w:szCs w:val="28"/>
        </w:rPr>
        <w:t xml:space="preserve"> тыс. рублей (</w:t>
      </w:r>
      <w:r w:rsidRPr="005846F1">
        <w:rPr>
          <w:sz w:val="28"/>
          <w:szCs w:val="28"/>
        </w:rPr>
        <w:t>2017г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2014г. №296, к 2024году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xml:space="preserve">№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xml:space="preserve">%) находится вПриморском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 xml:space="preserve">Во исполнение пункта 1 постановления Правительства Российской Федерации от 14 февраля 2013 г. №116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 xml:space="preserve">Индивидуальные программы реабилитации (ИПР) детей-инвалидов назначены4%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728законченных случаев</w:t>
      </w:r>
      <w:r>
        <w:rPr>
          <w:sz w:val="28"/>
          <w:szCs w:val="28"/>
        </w:rPr>
        <w:t>;</w:t>
      </w:r>
      <w:r w:rsidRPr="003106DA">
        <w:rPr>
          <w:sz w:val="28"/>
          <w:szCs w:val="28"/>
        </w:rPr>
        <w:t xml:space="preserve"> 2016 г. – 267237</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Pr>
          <w:sz w:val="28"/>
          <w:szCs w:val="28"/>
        </w:rPr>
        <w:t>мукополисахаридоз</w:t>
      </w:r>
      <w:r w:rsidR="005A6973">
        <w:rPr>
          <w:sz w:val="28"/>
          <w:szCs w:val="28"/>
        </w:rPr>
        <w:t xml:space="preserve">ом(типами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23,36%от числа всех воспитанников; 2016 г. </w:t>
      </w:r>
      <w:r w:rsidRPr="00533CA9">
        <w:rPr>
          <w:bCs/>
          <w:sz w:val="28"/>
          <w:szCs w:val="28"/>
        </w:rPr>
        <w:t>– 24,3</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xml:space="preserve">»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против полиомиелита:вакцинацией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от21июня 2013 г. №395н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xml:space="preserve">,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 xml:space="preserve">314 подобных служб.Основная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Костромская,Курская, Рязанская, Саратовская,</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 xml:space="preserve">организованаработа по </w:t>
      </w:r>
      <w:r w:rsidR="00163FC7">
        <w:t>экспертн</w:t>
      </w:r>
      <w:r>
        <w:t>ой</w:t>
      </w:r>
      <w:r w:rsidR="00163FC7">
        <w:t xml:space="preserve"> оценк</w:t>
      </w:r>
      <w:r>
        <w:t>е материалов, размещенныхна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xml:space="preserve">– выставкатактильных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айляиз серии «Хранимиры» в рамках встречи с автором книг Е.</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 xml:space="preserve">ий, в реестры включены 45 189 организаций отдыха детей и их оздоровления, что составляет 99,98% от общего количества открытых по итогам летнейоздоровительной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 xml:space="preserve">1 «О применениизаконодательства,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 xml:space="preserve">.Согласно </w:t>
      </w:r>
      <w:r>
        <w:rPr>
          <w:sz w:val="28"/>
          <w:szCs w:val="28"/>
        </w:rPr>
        <w:t xml:space="preserve">указанной статье, </w:t>
      </w:r>
      <w:r w:rsidRPr="00C02B7C">
        <w:rPr>
          <w:sz w:val="28"/>
          <w:szCs w:val="28"/>
        </w:rPr>
        <w:t xml:space="preserve">отпускпо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кпрофессиональному обучению и трудовой деятельности. Такженесовершеннолетним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оеобразование, п</w:t>
      </w:r>
      <w:r w:rsidRPr="00B607D7">
        <w:rPr>
          <w:b/>
          <w:sz w:val="28"/>
          <w:szCs w:val="28"/>
        </w:rPr>
        <w:t>рофессиональн</w:t>
      </w:r>
      <w:r>
        <w:rPr>
          <w:b/>
          <w:sz w:val="28"/>
          <w:szCs w:val="28"/>
        </w:rPr>
        <w:t xml:space="preserve">оеобучение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 xml:space="preserve">ов.Врамках </w:t>
      </w:r>
      <w:r w:rsidRPr="001277B5">
        <w:rPr>
          <w:sz w:val="28"/>
          <w:szCs w:val="28"/>
        </w:rPr>
        <w:t>23 проект</w:t>
      </w:r>
      <w:r>
        <w:rPr>
          <w:sz w:val="28"/>
          <w:szCs w:val="28"/>
        </w:rPr>
        <w:t xml:space="preserve">ов муниципальных образованийвыполнялись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Pr="00953CBA">
        <w:rPr>
          <w:rFonts w:eastAsia="Yu Mincho"/>
          <w:sz w:val="28"/>
          <w:szCs w:val="28"/>
          <w:lang w:eastAsia="ja-JP"/>
        </w:rPr>
        <w:t>– Югра</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ав рамках</w:t>
      </w:r>
      <w:r w:rsidRPr="007A14C8">
        <w:rPr>
          <w:rFonts w:eastAsia="Yu Mincho"/>
          <w:sz w:val="28"/>
          <w:szCs w:val="28"/>
          <w:lang w:eastAsia="ja-JP"/>
        </w:rPr>
        <w:t>программ Фондадеятельности 300 служб ранней помощипозволил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оказывающие социальные услуги (2017 г. </w:t>
      </w:r>
      <w:r w:rsidRPr="002863BA">
        <w:rPr>
          <w:sz w:val="28"/>
          <w:szCs w:val="28"/>
        </w:rPr>
        <w:t>–</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Pr="00FA23B4">
        <w:rPr>
          <w:rFonts w:eastAsia="Calibri"/>
          <w:bCs/>
          <w:sz w:val="28"/>
          <w:szCs w:val="28"/>
        </w:rPr>
        <w:t>города</w:t>
      </w:r>
      <w:r>
        <w:rPr>
          <w:rFonts w:eastAsia="Calibri"/>
          <w:bCs/>
          <w:sz w:val="28"/>
          <w:szCs w:val="28"/>
        </w:rPr>
        <w:t>х</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Pr="00BA4123">
        <w:rPr>
          <w:rFonts w:eastAsia="Calibri"/>
          <w:sz w:val="28"/>
          <w:szCs w:val="28"/>
        </w:rPr>
        <w:t>для родителей по вопросам воспитания детей</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Фестивалесемейного досуга«МИР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 xml:space="preserve">стали 25 авторов из 20субъектов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 xml:space="preserve">(Половое сношение и иные действиясексуального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Для предупреждения безнадзорности, беспризорности, правонарушений и антиобщественных действий несовершеннолетних, а также выявленияи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 xml:space="preserve">,которая является региональным методическим центром профилактикинаркомании. Она представляет собой интерактивную экспозицию, посвященнуюнегативным социальным и медицинским последствиям наркомании, а такжеборьбе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позволяюткаждому подростку на конкретных примерах наглядно ознакомитьсяс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xml:space="preserve">; за незаконные изготовление,приобретение,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Pr="00643441">
        <w:rPr>
          <w:rFonts w:eastAsia="Calibri"/>
          <w:sz w:val="28"/>
          <w:szCs w:val="28"/>
        </w:rPr>
        <w:t>общеобразовательных организаций (1</w:t>
      </w:r>
      <w:r w:rsidRPr="00643441">
        <w:rPr>
          <w:sz w:val="28"/>
          <w:szCs w:val="28"/>
        </w:rPr>
        <w:t>–</w:t>
      </w:r>
      <w:r w:rsidRPr="00643441">
        <w:rPr>
          <w:rFonts w:eastAsia="Calibri"/>
          <w:sz w:val="28"/>
          <w:szCs w:val="28"/>
        </w:rPr>
        <w:t xml:space="preserve">для девочек, </w:t>
      </w:r>
      <w:r>
        <w:rPr>
          <w:rFonts w:eastAsia="Calibri"/>
          <w:sz w:val="28"/>
          <w:szCs w:val="28"/>
        </w:rPr>
        <w:t>3</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Pr="00643441">
        <w:rPr>
          <w:sz w:val="28"/>
          <w:szCs w:val="28"/>
        </w:rPr>
        <w:t>–</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Pr="00643441">
        <w:rPr>
          <w:sz w:val="28"/>
          <w:szCs w:val="28"/>
        </w:rPr>
        <w:t>–</w:t>
      </w:r>
      <w:r w:rsidRPr="00643441">
        <w:rPr>
          <w:rFonts w:eastAsia="Calibri"/>
          <w:sz w:val="28"/>
          <w:szCs w:val="28"/>
        </w:rPr>
        <w:t xml:space="preserve"> смешанного типа). Из них 3 профессиональныеобразовательные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Pr>
          <w:szCs w:val="28"/>
        </w:rPr>
        <w:t xml:space="preserve">12% </w:t>
      </w:r>
      <w:r w:rsidRPr="00D55C8D">
        <w:rPr>
          <w:szCs w:val="28"/>
        </w:rPr>
        <w:t>(2015 г</w:t>
      </w:r>
      <w:r>
        <w:rPr>
          <w:szCs w:val="28"/>
        </w:rPr>
        <w:t>.</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Pr="00847998">
        <w:rPr>
          <w:color w:val="000000"/>
          <w:szCs w:val="28"/>
        </w:rPr>
        <w:t>–</w:t>
      </w:r>
      <w:r>
        <w:rPr>
          <w:szCs w:val="28"/>
        </w:rPr>
        <w:t xml:space="preserve"> 10,9%; 2</w:t>
      </w:r>
      <w:r w:rsidRPr="00D55C8D">
        <w:rPr>
          <w:szCs w:val="28"/>
        </w:rPr>
        <w:t>016 г</w:t>
      </w:r>
      <w:r>
        <w:rPr>
          <w:szCs w:val="28"/>
        </w:rPr>
        <w:t>.</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509B9">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 xml:space="preserve">Методики выявления и обобщения мнения граждано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509B9">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814CE1" w:rsidP="008509B9">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814CE1" w:rsidP="008509B9">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814CE1" w:rsidP="008509B9">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509B9">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07" w:rsidRDefault="00D67407" w:rsidP="005463BE">
      <w:r>
        <w:separator/>
      </w:r>
    </w:p>
  </w:endnote>
  <w:endnote w:type="continuationSeparator" w:id="1">
    <w:p w:rsidR="00D67407" w:rsidRDefault="00D67407"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814CE1">
        <w:pPr>
          <w:pStyle w:val="a7"/>
          <w:jc w:val="center"/>
        </w:pPr>
        <w:r>
          <w:rPr>
            <w:noProof/>
          </w:rPr>
          <w:fldChar w:fldCharType="begin"/>
        </w:r>
        <w:r w:rsidR="00D67407">
          <w:rPr>
            <w:noProof/>
          </w:rPr>
          <w:instrText xml:space="preserve"> PAGE   \* MERGEFORMAT </w:instrText>
        </w:r>
        <w:r>
          <w:rPr>
            <w:noProof/>
          </w:rPr>
          <w:fldChar w:fldCharType="separate"/>
        </w:r>
        <w:r w:rsidR="008509B9">
          <w:rPr>
            <w:noProof/>
          </w:rPr>
          <w:t>322</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814CE1">
    <w:pPr>
      <w:rPr>
        <w:sz w:val="2"/>
        <w:szCs w:val="2"/>
      </w:rPr>
    </w:pPr>
    <w:r w:rsidRPr="00814CE1">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814CE1">
    <w:pPr>
      <w:pStyle w:val="a7"/>
      <w:jc w:val="center"/>
    </w:pPr>
    <w:r>
      <w:rPr>
        <w:noProof/>
      </w:rPr>
      <w:fldChar w:fldCharType="begin"/>
    </w:r>
    <w:r w:rsidR="0014468F">
      <w:rPr>
        <w:noProof/>
      </w:rPr>
      <w:instrText xml:space="preserve"> PAGE   \* MERGEFORMAT </w:instrText>
    </w:r>
    <w:r>
      <w:rPr>
        <w:noProof/>
      </w:rPr>
      <w:fldChar w:fldCharType="separate"/>
    </w:r>
    <w:r w:rsidR="008509B9">
      <w:rPr>
        <w:noProof/>
      </w:rPr>
      <w:t>366</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07" w:rsidRDefault="00D67407" w:rsidP="005463BE">
      <w:r>
        <w:separator/>
      </w:r>
    </w:p>
  </w:footnote>
  <w:footnote w:type="continuationSeparator" w:id="1">
    <w:p w:rsidR="00D67407" w:rsidRDefault="00D67407"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814CE1">
    <w:pPr>
      <w:rPr>
        <w:sz w:val="2"/>
        <w:szCs w:val="2"/>
      </w:rPr>
    </w:pPr>
    <w:r w:rsidRPr="00814CE1">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814CE1">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814CE1">
    <w:pPr>
      <w:rPr>
        <w:sz w:val="2"/>
        <w:szCs w:val="2"/>
      </w:rPr>
    </w:pPr>
    <w:r w:rsidRPr="00814CE1">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814CE1">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814CE1"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9256"/>
    <o:shapelayout v:ext="edit">
      <o:idmap v:ext="edit" data="302"/>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4CE1"/>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9B9"/>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92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67"/>
          <c:y val="0.16259039995654465"/>
          <c:w val="0.47353837724291648"/>
          <c:h val="0.74757280667059145"/>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7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43"/>
          <c:y val="0.20794057605544414"/>
          <c:w val="0.39568972502598282"/>
          <c:h val="0.77068979122707748"/>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firstSliceAng val="0"/>
        <c:holeSize val="65"/>
      </c:doughnutChart>
      <c:spPr>
        <a:noFill/>
        <a:ln>
          <a:noFill/>
        </a:ln>
        <a:effectLst/>
      </c:spPr>
    </c:plotArea>
    <c:legend>
      <c:legendPos val="l"/>
      <c:layout>
        <c:manualLayout>
          <c:xMode val="edge"/>
          <c:yMode val="edge"/>
          <c:x val="1.3422818791946317E-2"/>
          <c:y val="0.35826428559175216"/>
          <c:w val="0.32449100741601933"/>
          <c:h val="0.4981208678029174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46"/>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04E-3"/>
                  <c:y val="-3.2760024309485742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9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22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firstSliceAng val="0"/>
        <c:holeSize val="65"/>
      </c:doughnutChart>
      <c:spPr>
        <a:noFill/>
        <a:ln>
          <a:noFill/>
        </a:ln>
        <a:effectLst/>
      </c:spPr>
    </c:plotArea>
    <c:legend>
      <c:legendPos val="l"/>
      <c:layout>
        <c:manualLayout>
          <c:xMode val="edge"/>
          <c:yMode val="edge"/>
          <c:x val="1.3008130081300818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56E2-DB12-4D1F-901E-F20AF5EB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366</Pages>
  <Words>110211</Words>
  <Characters>628203</Characters>
  <Application>Microsoft Office Word</Application>
  <DocSecurity>0</DocSecurity>
  <Lines>5235</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Информатик</cp:lastModifiedBy>
  <cp:revision>2</cp:revision>
  <cp:lastPrinted>2019-11-28T08:10:00Z</cp:lastPrinted>
  <dcterms:created xsi:type="dcterms:W3CDTF">2020-01-13T11:33:00Z</dcterms:created>
  <dcterms:modified xsi:type="dcterms:W3CDTF">2020-01-13T11:33:00Z</dcterms:modified>
</cp:coreProperties>
</file>